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623E8" w14:textId="70FAA98E" w:rsidR="008E7307" w:rsidRPr="008E7307" w:rsidRDefault="008E7307" w:rsidP="008E7307">
      <w:pPr>
        <w:jc w:val="center"/>
        <w:rPr>
          <w:rFonts w:ascii="Garamond" w:hAnsi="Garamond"/>
          <w:b/>
          <w:bCs/>
        </w:rPr>
      </w:pPr>
    </w:p>
    <w:p w14:paraId="6A1CEEC3" w14:textId="77777777" w:rsidR="008E7307" w:rsidRPr="008E7307" w:rsidRDefault="008E7307" w:rsidP="008E7307">
      <w:pPr>
        <w:jc w:val="center"/>
        <w:rPr>
          <w:rFonts w:ascii="Garamond" w:hAnsi="Garamond"/>
        </w:rPr>
      </w:pPr>
      <w:r w:rsidRPr="008E7307">
        <w:rPr>
          <w:rFonts w:ascii="Garamond" w:hAnsi="Garamond"/>
          <w:b/>
          <w:bCs/>
        </w:rPr>
        <w:t>DODATOK č. 1</w:t>
      </w:r>
    </w:p>
    <w:p w14:paraId="7300A41A" w14:textId="77777777" w:rsidR="008E7307" w:rsidRPr="008E7307" w:rsidRDefault="008E7307" w:rsidP="008E7307">
      <w:pPr>
        <w:jc w:val="both"/>
        <w:rPr>
          <w:rFonts w:ascii="Garamond" w:hAnsi="Garamond"/>
        </w:rPr>
      </w:pPr>
      <w:r w:rsidRPr="008E7307">
        <w:rPr>
          <w:rFonts w:ascii="Garamond" w:hAnsi="Garamond"/>
          <w:b/>
          <w:bCs/>
        </w:rPr>
        <w:t>k Všeobecne záväznému nariadeniu Obce Ipeľské Predmostie č. 4/2025 o miestnych daniach a miestnom poplatku za komunálne odpady a drobné stavebné odpady</w:t>
      </w:r>
    </w:p>
    <w:p w14:paraId="7AA45D8C" w14:textId="64AC57D3" w:rsidR="008E7307" w:rsidRPr="008E7307" w:rsidRDefault="008E7307" w:rsidP="008E7307">
      <w:pPr>
        <w:jc w:val="both"/>
        <w:rPr>
          <w:rFonts w:ascii="Garamond" w:hAnsi="Garamond"/>
        </w:rPr>
      </w:pPr>
      <w:r w:rsidRPr="008E7307">
        <w:rPr>
          <w:rFonts w:ascii="Garamond" w:hAnsi="Garamond"/>
        </w:rPr>
        <w:t xml:space="preserve">Obecné zastupiteľstvo v Ipeľskom Predmostí na základe ustanovenia § 6 ods. 1 a § 11 ods. 4 písm. g) zákona č. 369/1990 Zb. o obecnom zriadení v znení neskorších predpisov a v súlade so zákonom č. 582/2004 Z. z. o miestnych daniach a miestnom poplatku za komunálne odpady a drobné stavebné odpady, a za účelom vyhovenia protestu prokurátora Okresnej prokuratúry Veľký Krtíš </w:t>
      </w:r>
      <w:proofErr w:type="spellStart"/>
      <w:r w:rsidRPr="008E7307">
        <w:rPr>
          <w:rFonts w:ascii="Garamond" w:hAnsi="Garamond"/>
        </w:rPr>
        <w:t>sp</w:t>
      </w:r>
      <w:proofErr w:type="spellEnd"/>
      <w:r w:rsidRPr="008E7307">
        <w:rPr>
          <w:rFonts w:ascii="Garamond" w:hAnsi="Garamond"/>
        </w:rPr>
        <w:t xml:space="preserve">. zn. </w:t>
      </w:r>
      <w:proofErr w:type="spellStart"/>
      <w:r w:rsidRPr="008E7307">
        <w:rPr>
          <w:rFonts w:ascii="Garamond" w:hAnsi="Garamond"/>
        </w:rPr>
        <w:t>Pd</w:t>
      </w:r>
      <w:proofErr w:type="spellEnd"/>
      <w:r w:rsidRPr="008E7307">
        <w:rPr>
          <w:rFonts w:ascii="Garamond" w:hAnsi="Garamond"/>
        </w:rPr>
        <w:t xml:space="preserve"> 5/26/6610-4 zo dňa 19.05.2026, sa uznieslo na tomto Dodatku č. 1 k VZN č. 4/2025:</w:t>
      </w:r>
    </w:p>
    <w:p w14:paraId="0EA5B77A" w14:textId="77777777" w:rsidR="008E7307" w:rsidRPr="008E7307" w:rsidRDefault="008E7307" w:rsidP="008E7307">
      <w:pPr>
        <w:jc w:val="center"/>
        <w:rPr>
          <w:rFonts w:ascii="Garamond" w:hAnsi="Garamond"/>
        </w:rPr>
      </w:pPr>
      <w:r w:rsidRPr="008E7307">
        <w:rPr>
          <w:rFonts w:ascii="Garamond" w:hAnsi="Garamond"/>
          <w:b/>
          <w:bCs/>
        </w:rPr>
        <w:t>Článok I.</w:t>
      </w:r>
    </w:p>
    <w:p w14:paraId="067C814A" w14:textId="77777777" w:rsidR="008E7307" w:rsidRPr="008E7307" w:rsidRDefault="008E7307" w:rsidP="008E7307">
      <w:pPr>
        <w:jc w:val="center"/>
        <w:rPr>
          <w:rFonts w:ascii="Garamond" w:hAnsi="Garamond"/>
        </w:rPr>
      </w:pPr>
      <w:r w:rsidRPr="008E7307">
        <w:rPr>
          <w:rFonts w:ascii="Garamond" w:hAnsi="Garamond"/>
          <w:b/>
          <w:bCs/>
        </w:rPr>
        <w:t>Zmeny a doplnenia VZN</w:t>
      </w:r>
    </w:p>
    <w:p w14:paraId="7178AFAC" w14:textId="77777777" w:rsidR="008E7307" w:rsidRPr="008E7307" w:rsidRDefault="008E7307" w:rsidP="008E7307">
      <w:pPr>
        <w:jc w:val="both"/>
        <w:rPr>
          <w:rFonts w:ascii="Garamond" w:hAnsi="Garamond"/>
        </w:rPr>
      </w:pPr>
      <w:r w:rsidRPr="008E7307">
        <w:rPr>
          <w:rFonts w:ascii="Garamond" w:hAnsi="Garamond"/>
        </w:rPr>
        <w:t>Všeobecne záväzné nariadenie Obce Ipeľské Predmostie č. 4/2025 o miestnych daniach a miestnom poplatku za komunálne odpady a drobné stavebné odpady (ďalej len „VZN“) sa mení a dopĺňa nasledovne:</w:t>
      </w:r>
    </w:p>
    <w:p w14:paraId="041FB8DD" w14:textId="77777777" w:rsidR="008E7307" w:rsidRDefault="008E7307" w:rsidP="008E7307">
      <w:pPr>
        <w:jc w:val="both"/>
        <w:rPr>
          <w:rFonts w:ascii="Garamond" w:hAnsi="Garamond"/>
          <w:b/>
          <w:bCs/>
        </w:rPr>
      </w:pPr>
    </w:p>
    <w:p w14:paraId="3DF857BD" w14:textId="38753930" w:rsidR="008E7307" w:rsidRPr="008E7307" w:rsidRDefault="008E7307" w:rsidP="008E7307">
      <w:pPr>
        <w:jc w:val="both"/>
        <w:rPr>
          <w:rFonts w:ascii="Garamond" w:hAnsi="Garamond"/>
        </w:rPr>
      </w:pPr>
      <w:r w:rsidRPr="008E7307">
        <w:rPr>
          <w:rFonts w:ascii="Garamond" w:hAnsi="Garamond"/>
          <w:b/>
          <w:bCs/>
        </w:rPr>
        <w:t xml:space="preserve">1. V Čl. IV (Spoločné ustanovenia pre daň z nehnuteľností) </w:t>
      </w:r>
      <w:r w:rsidRPr="008E7307">
        <w:rPr>
          <w:rFonts w:ascii="Garamond" w:hAnsi="Garamond"/>
        </w:rPr>
        <w:t>sa časť „Oslobodenie od dane“ nahrádza novým znením, ktoré znie:</w:t>
      </w:r>
    </w:p>
    <w:p w14:paraId="7B4ACA0B" w14:textId="77777777" w:rsidR="008E7307" w:rsidRPr="008E7307" w:rsidRDefault="008E7307" w:rsidP="008E7307">
      <w:pPr>
        <w:jc w:val="both"/>
        <w:rPr>
          <w:rFonts w:ascii="Garamond" w:hAnsi="Garamond"/>
        </w:rPr>
      </w:pPr>
      <w:r w:rsidRPr="008E7307">
        <w:rPr>
          <w:rFonts w:ascii="Garamond" w:hAnsi="Garamond"/>
        </w:rPr>
        <w:t>„Oslobodenie od dane</w:t>
      </w:r>
    </w:p>
    <w:p w14:paraId="7F3606C5" w14:textId="77777777" w:rsidR="008E7307" w:rsidRPr="008E7307" w:rsidRDefault="008E7307" w:rsidP="008E7307">
      <w:pPr>
        <w:jc w:val="both"/>
        <w:rPr>
          <w:rFonts w:ascii="Garamond" w:hAnsi="Garamond"/>
        </w:rPr>
      </w:pPr>
      <w:r w:rsidRPr="008E7307">
        <w:rPr>
          <w:rFonts w:ascii="Garamond" w:hAnsi="Garamond"/>
        </w:rPr>
        <w:t xml:space="preserve">Správca dane ustanovuje oslobodenie od dane zo stavieb pre stavby slúžiace školám, školským zariadeniam a stavby užívané na účely sociálnej pomoci v zmysle § 17 ods. 3 písm. b) zákona č. 582/2004 </w:t>
      </w:r>
      <w:proofErr w:type="spellStart"/>
      <w:r w:rsidRPr="008E7307">
        <w:rPr>
          <w:rFonts w:ascii="Garamond" w:hAnsi="Garamond"/>
        </w:rPr>
        <w:t>Z.z</w:t>
      </w:r>
      <w:proofErr w:type="spellEnd"/>
      <w:r w:rsidRPr="008E7307">
        <w:rPr>
          <w:rFonts w:ascii="Garamond" w:hAnsi="Garamond"/>
        </w:rPr>
        <w:t>.“</w:t>
      </w:r>
    </w:p>
    <w:p w14:paraId="470F7E83" w14:textId="77777777" w:rsidR="008E7307" w:rsidRDefault="008E7307" w:rsidP="008E7307">
      <w:pPr>
        <w:jc w:val="both"/>
        <w:rPr>
          <w:rFonts w:ascii="Garamond" w:hAnsi="Garamond"/>
        </w:rPr>
      </w:pPr>
    </w:p>
    <w:p w14:paraId="0921C813" w14:textId="6721EF40" w:rsidR="008E7307" w:rsidRPr="008E7307" w:rsidRDefault="008E7307" w:rsidP="008E7307">
      <w:pPr>
        <w:jc w:val="both"/>
        <w:rPr>
          <w:rFonts w:ascii="Garamond" w:hAnsi="Garamond"/>
        </w:rPr>
      </w:pPr>
      <w:r w:rsidRPr="008E7307">
        <w:rPr>
          <w:rFonts w:ascii="Garamond" w:hAnsi="Garamond"/>
          <w:b/>
          <w:bCs/>
        </w:rPr>
        <w:t xml:space="preserve">2. V Čl. VI (Daň za užívanie verejného priestranstva) </w:t>
      </w:r>
      <w:r w:rsidRPr="008E7307">
        <w:rPr>
          <w:rFonts w:ascii="Garamond" w:hAnsi="Garamond"/>
        </w:rPr>
        <w:t>sa v treťom odseku na konci vety vypúšťajú slová „</w:t>
      </w:r>
      <w:r w:rsidR="00C73A0F">
        <w:rPr>
          <w:rFonts w:ascii="Garamond" w:hAnsi="Garamond"/>
        </w:rPr>
        <w:t xml:space="preserve">garáže </w:t>
      </w:r>
      <w:r w:rsidRPr="008E7307">
        <w:rPr>
          <w:rFonts w:ascii="Garamond" w:hAnsi="Garamond"/>
        </w:rPr>
        <w:t>a podobne.“. Bodka sa umiestňuje za slovo „</w:t>
      </w:r>
      <w:r w:rsidR="00C73A0F">
        <w:rPr>
          <w:rFonts w:ascii="Garamond" w:hAnsi="Garamond"/>
        </w:rPr>
        <w:t>pozemku</w:t>
      </w:r>
      <w:r w:rsidRPr="008E7307">
        <w:rPr>
          <w:rFonts w:ascii="Garamond" w:hAnsi="Garamond"/>
        </w:rPr>
        <w:t xml:space="preserve">“. </w:t>
      </w:r>
    </w:p>
    <w:p w14:paraId="3674FC72" w14:textId="77777777" w:rsidR="008E7307" w:rsidRDefault="008E7307" w:rsidP="008E7307">
      <w:pPr>
        <w:jc w:val="both"/>
        <w:rPr>
          <w:rFonts w:ascii="Garamond" w:hAnsi="Garamond"/>
        </w:rPr>
      </w:pPr>
    </w:p>
    <w:p w14:paraId="08C99023" w14:textId="37AB3B00" w:rsidR="008E7307" w:rsidRDefault="008E7307" w:rsidP="008E7307">
      <w:pPr>
        <w:jc w:val="both"/>
        <w:rPr>
          <w:rFonts w:ascii="Garamond" w:hAnsi="Garamond"/>
        </w:rPr>
      </w:pPr>
      <w:r w:rsidRPr="008E7307">
        <w:rPr>
          <w:rFonts w:ascii="Garamond" w:hAnsi="Garamond"/>
          <w:b/>
          <w:bCs/>
        </w:rPr>
        <w:t>3. V Čl. VI v časti „Sadzba dane“ v písm. c)</w:t>
      </w:r>
      <w:r w:rsidRPr="008E7307">
        <w:rPr>
          <w:rFonts w:ascii="Garamond" w:hAnsi="Garamond"/>
        </w:rPr>
        <w:t xml:space="preserve"> sa vypúšťajú slová „a iných atrakcií“. </w:t>
      </w:r>
    </w:p>
    <w:p w14:paraId="7850FCD7" w14:textId="77777777" w:rsidR="008E7307" w:rsidRPr="008E7307" w:rsidRDefault="008E7307" w:rsidP="008E7307">
      <w:pPr>
        <w:jc w:val="both"/>
        <w:rPr>
          <w:rFonts w:ascii="Garamond" w:hAnsi="Garamond"/>
        </w:rPr>
      </w:pPr>
    </w:p>
    <w:p w14:paraId="10F3F338" w14:textId="410570EA" w:rsidR="008E7307" w:rsidRPr="008E7307" w:rsidRDefault="008E7307" w:rsidP="008E7307">
      <w:pPr>
        <w:jc w:val="both"/>
        <w:rPr>
          <w:rFonts w:ascii="Garamond" w:hAnsi="Garamond"/>
        </w:rPr>
      </w:pPr>
      <w:r w:rsidRPr="008E7307">
        <w:rPr>
          <w:rFonts w:ascii="Garamond" w:hAnsi="Garamond"/>
          <w:b/>
          <w:bCs/>
        </w:rPr>
        <w:t xml:space="preserve">4. V Čl. VI (Daň za užívanie verejného priestranstva) </w:t>
      </w:r>
      <w:r w:rsidRPr="00DC4FF4">
        <w:rPr>
          <w:rFonts w:ascii="Garamond" w:hAnsi="Garamond"/>
        </w:rPr>
        <w:t>sa za časť „Sadzba dane“ dopĺňa nová časť „Oznamovacia povinnosť“, ktorá znie:</w:t>
      </w:r>
    </w:p>
    <w:p w14:paraId="79C65946" w14:textId="77777777" w:rsidR="008E7307" w:rsidRPr="008E7307" w:rsidRDefault="008E7307" w:rsidP="008E7307">
      <w:pPr>
        <w:jc w:val="both"/>
        <w:rPr>
          <w:rFonts w:ascii="Garamond" w:hAnsi="Garamond"/>
        </w:rPr>
      </w:pPr>
      <w:r w:rsidRPr="008E7307">
        <w:rPr>
          <w:rFonts w:ascii="Garamond" w:hAnsi="Garamond"/>
        </w:rPr>
        <w:t>„Oznamovacia povinnosť</w:t>
      </w:r>
    </w:p>
    <w:p w14:paraId="495BB988" w14:textId="0DF0CBD9" w:rsidR="008E7307" w:rsidRPr="008E7307" w:rsidRDefault="008E7307" w:rsidP="008E7307">
      <w:pPr>
        <w:jc w:val="both"/>
        <w:rPr>
          <w:rFonts w:ascii="Garamond" w:hAnsi="Garamond"/>
        </w:rPr>
      </w:pPr>
      <w:r w:rsidRPr="008E7307">
        <w:rPr>
          <w:rFonts w:ascii="Garamond" w:hAnsi="Garamond"/>
        </w:rPr>
        <w:t>Daňovník je povinný osobne, písomne alebo elektronicky oznámiť obci zámer osobitného užívania verejného priestranstva najneskôr v deň začatia užívania verejného priestranstva. Oznámenie musí obsahovať identifikačné údaje daňovníka, presné určenie miesta, účel užívania, výmeru užívaného priestranstva v m2 a predpokladanú dobu užívania. Ukončenie užívania je daňovník povinný oznámiť do 3 dní odo dňa ukončenia užívania.“</w:t>
      </w:r>
    </w:p>
    <w:p w14:paraId="3C27F6B3" w14:textId="77777777" w:rsidR="008E7307" w:rsidRPr="008E7307" w:rsidRDefault="008E7307" w:rsidP="008E7307">
      <w:pPr>
        <w:jc w:val="both"/>
        <w:rPr>
          <w:rFonts w:ascii="Garamond" w:hAnsi="Garamond"/>
        </w:rPr>
      </w:pPr>
      <w:r w:rsidRPr="00DC4FF4">
        <w:rPr>
          <w:rFonts w:ascii="Garamond" w:hAnsi="Garamond"/>
          <w:b/>
          <w:bCs/>
        </w:rPr>
        <w:lastRenderedPageBreak/>
        <w:t xml:space="preserve">5. V Čl. VII (Daň za ubytovanie) </w:t>
      </w:r>
      <w:r w:rsidRPr="008E7307">
        <w:rPr>
          <w:rFonts w:ascii="Garamond" w:hAnsi="Garamond"/>
        </w:rPr>
        <w:t xml:space="preserve">sa v plnom rozsahu vypúšťa ustanovenie, ktoré znelo: „Ak si platiteľ dane nesplní svoju povinnosť o vyvesení registračného čísla, je povinný uhradiť správcovi dane pokutu vo výške 15,00 Eur a to aj opakovane v prípade sústavného porušovania.“. </w:t>
      </w:r>
    </w:p>
    <w:p w14:paraId="642FF4D6" w14:textId="69C8F342" w:rsidR="008E7307" w:rsidRPr="008E7307" w:rsidRDefault="008E7307" w:rsidP="008E7307">
      <w:pPr>
        <w:jc w:val="both"/>
        <w:rPr>
          <w:rFonts w:ascii="Garamond" w:hAnsi="Garamond"/>
        </w:rPr>
      </w:pPr>
      <w:r w:rsidRPr="008E7307">
        <w:rPr>
          <w:rFonts w:ascii="Garamond" w:hAnsi="Garamond"/>
        </w:rPr>
        <w:t xml:space="preserve">6. V Čl. VII sa veta „Platiteľ dane, ktorým je prevádzkovateľ zariadenia, poskytujúceho odplatné prechodné ubytovanie, je povinný oznámiť: zmeny oznámených skutočností v rámci oznamovacej povinnosti v lehote do 7 dní odo dňa, keď tieto nastali, zánik daňovej povinnosti do 7 dní odo dňa zrušenia prevádzky ubytovacieho zariadenia,“ </w:t>
      </w:r>
      <w:r w:rsidRPr="008E7307">
        <w:rPr>
          <w:rFonts w:ascii="Garamond" w:hAnsi="Garamond"/>
          <w:b/>
          <w:bCs/>
        </w:rPr>
        <w:t>nahrádza novým znením:</w:t>
      </w:r>
      <w:r w:rsidRPr="008E7307">
        <w:rPr>
          <w:rFonts w:ascii="Garamond" w:hAnsi="Garamond"/>
        </w:rPr>
        <w:t xml:space="preserve"> „Platiteľ dane, ktorým je prevádzkovateľ zariadenia, poskytujúceho odplatné prechodné ubytovanie, je povinný oznámiť obci: a) zmeny skutočností rozhodujúcich pre určenie dane do 30 dní odo dňa, keď tieto skutočnosti nastali, b) ukončenie poskytovania odplatného prechodného ubytovania najneskôr do 30 dní odo dňa ukončenia jeho poskytovania.“ </w:t>
      </w:r>
    </w:p>
    <w:p w14:paraId="1ED09E58" w14:textId="22848BAB" w:rsidR="008E7307" w:rsidRPr="008E7307" w:rsidRDefault="008E7307" w:rsidP="008E7307">
      <w:pPr>
        <w:jc w:val="both"/>
        <w:rPr>
          <w:rFonts w:ascii="Garamond" w:hAnsi="Garamond"/>
        </w:rPr>
      </w:pPr>
      <w:r w:rsidRPr="008E7307">
        <w:rPr>
          <w:rFonts w:ascii="Garamond" w:hAnsi="Garamond"/>
          <w:b/>
          <w:bCs/>
        </w:rPr>
        <w:t xml:space="preserve">7. V Čl. VII sa </w:t>
      </w:r>
      <w:r w:rsidRPr="00DC4FF4">
        <w:rPr>
          <w:rFonts w:ascii="Garamond" w:hAnsi="Garamond"/>
        </w:rPr>
        <w:t>v plnom rozsahu bez náhrady vypúšťajú nasledovné odseky</w:t>
      </w:r>
      <w:r w:rsidR="00DC4FF4">
        <w:rPr>
          <w:rFonts w:ascii="Garamond" w:hAnsi="Garamond"/>
        </w:rPr>
        <w:t xml:space="preserve"> 12 a 14</w:t>
      </w:r>
      <w:r w:rsidRPr="00DC4FF4">
        <w:rPr>
          <w:rFonts w:ascii="Garamond" w:hAnsi="Garamond"/>
        </w:rPr>
        <w:t>:</w:t>
      </w:r>
    </w:p>
    <w:p w14:paraId="44575F53" w14:textId="10A85609" w:rsidR="008E7307" w:rsidRPr="008E7307" w:rsidRDefault="00DC4FF4" w:rsidP="008E7307">
      <w:pPr>
        <w:numPr>
          <w:ilvl w:val="0"/>
          <w:numId w:val="2"/>
        </w:numPr>
        <w:jc w:val="both"/>
        <w:rPr>
          <w:rFonts w:ascii="Garamond" w:hAnsi="Garamond"/>
        </w:rPr>
      </w:pPr>
      <w:r>
        <w:rPr>
          <w:rFonts w:ascii="Garamond" w:hAnsi="Garamond"/>
        </w:rPr>
        <w:t xml:space="preserve">„(12) </w:t>
      </w:r>
      <w:r w:rsidR="008E7307" w:rsidRPr="008E7307">
        <w:rPr>
          <w:rFonts w:ascii="Garamond" w:hAnsi="Garamond"/>
        </w:rPr>
        <w:t xml:space="preserve">Za nesplnenie mesačnej oznamovacej povinnosti podľa bodu 11. písm. c) tohto článku je správca dane oprávnený uložiť pokutu od 5 eur do 3 000 eur za každé jedno porušenie.“ </w:t>
      </w:r>
    </w:p>
    <w:p w14:paraId="3864C4A4" w14:textId="7B0D929E" w:rsidR="00DC4FF4" w:rsidRPr="00DC4FF4" w:rsidRDefault="00DC4FF4" w:rsidP="00DC4FF4">
      <w:pPr>
        <w:numPr>
          <w:ilvl w:val="0"/>
          <w:numId w:val="2"/>
        </w:numPr>
        <w:jc w:val="both"/>
        <w:rPr>
          <w:rFonts w:ascii="Garamond" w:hAnsi="Garamond"/>
        </w:rPr>
      </w:pPr>
      <w:r>
        <w:rPr>
          <w:rFonts w:ascii="Garamond" w:hAnsi="Garamond"/>
        </w:rPr>
        <w:t>„(14)</w:t>
      </w:r>
      <w:r w:rsidRPr="00DC4FF4">
        <w:rPr>
          <w:rFonts w:ascii="Garamond" w:hAnsi="Garamond"/>
          <w:lang w:eastAsia="sk-SK"/>
        </w:rPr>
        <w:t xml:space="preserve"> V prípade ak platiteľ dane zaplatí podľa osobitných predpisov bez podania daňového priznania daň, ktorá je nižšia ako daň, ktorú mal skutočne zaplatiť, dopustí sa správneho deliktu, za ktorý správca dane uloží pokutu  vo výške trojnásobku základnej úrokovej sadzby Európskej centrálnej banky ročne zo sumy o ktorú správca dane zvýšil rozhodnutím vydanom vo vyrubovacom konaní daň uvedenú v daňovom priznaní alebo dodatočnom daňovom priznaní alebo zaplatenú podľa osobitných predpisov bez podania daňového priznania.</w:t>
      </w:r>
      <w:r>
        <w:rPr>
          <w:rFonts w:ascii="Garamond" w:hAnsi="Garamond"/>
          <w:lang w:eastAsia="sk-SK"/>
        </w:rPr>
        <w:t>“</w:t>
      </w:r>
    </w:p>
    <w:p w14:paraId="6DF77C06" w14:textId="77777777" w:rsidR="00DC4FF4" w:rsidRPr="008E7307" w:rsidRDefault="00DC4FF4" w:rsidP="00DC4FF4">
      <w:pPr>
        <w:ind w:left="720"/>
        <w:jc w:val="both"/>
        <w:rPr>
          <w:rFonts w:ascii="Garamond" w:hAnsi="Garamond"/>
        </w:rPr>
      </w:pPr>
    </w:p>
    <w:p w14:paraId="3DF52975" w14:textId="77777777" w:rsidR="008E7307" w:rsidRPr="008E7307" w:rsidRDefault="008E7307" w:rsidP="008E7307">
      <w:pPr>
        <w:jc w:val="center"/>
        <w:rPr>
          <w:rFonts w:ascii="Garamond" w:hAnsi="Garamond"/>
        </w:rPr>
      </w:pPr>
      <w:r w:rsidRPr="008E7307">
        <w:rPr>
          <w:rFonts w:ascii="Garamond" w:hAnsi="Garamond"/>
          <w:b/>
          <w:bCs/>
        </w:rPr>
        <w:t>Článok II.</w:t>
      </w:r>
    </w:p>
    <w:p w14:paraId="0144360A" w14:textId="77777777" w:rsidR="008E7307" w:rsidRPr="008E7307" w:rsidRDefault="008E7307" w:rsidP="008E7307">
      <w:pPr>
        <w:jc w:val="center"/>
        <w:rPr>
          <w:rFonts w:ascii="Garamond" w:hAnsi="Garamond"/>
        </w:rPr>
      </w:pPr>
      <w:r w:rsidRPr="008E7307">
        <w:rPr>
          <w:rFonts w:ascii="Garamond" w:hAnsi="Garamond"/>
          <w:b/>
          <w:bCs/>
        </w:rPr>
        <w:t>Záverečné ustanovenia</w:t>
      </w:r>
    </w:p>
    <w:p w14:paraId="30D9CA84" w14:textId="77777777" w:rsidR="008E7307" w:rsidRPr="008E7307" w:rsidRDefault="008E7307" w:rsidP="008E7307">
      <w:pPr>
        <w:numPr>
          <w:ilvl w:val="0"/>
          <w:numId w:val="3"/>
        </w:numPr>
        <w:jc w:val="both"/>
        <w:rPr>
          <w:rFonts w:ascii="Garamond" w:hAnsi="Garamond"/>
        </w:rPr>
      </w:pPr>
      <w:r w:rsidRPr="008E7307">
        <w:rPr>
          <w:rFonts w:ascii="Garamond" w:hAnsi="Garamond"/>
        </w:rPr>
        <w:t>Ostatné ustanovenia VZN č. 4/2025 ostávajú nezmenené a v platnosti.</w:t>
      </w:r>
    </w:p>
    <w:p w14:paraId="2E3AFC3A" w14:textId="785D4E9C" w:rsidR="008E7307" w:rsidRPr="008E7307" w:rsidRDefault="008E7307" w:rsidP="008E7307">
      <w:pPr>
        <w:numPr>
          <w:ilvl w:val="0"/>
          <w:numId w:val="3"/>
        </w:numPr>
        <w:jc w:val="both"/>
        <w:rPr>
          <w:rFonts w:ascii="Garamond" w:hAnsi="Garamond"/>
        </w:rPr>
      </w:pPr>
      <w:r w:rsidRPr="008E7307">
        <w:rPr>
          <w:rFonts w:ascii="Garamond" w:hAnsi="Garamond"/>
        </w:rPr>
        <w:t xml:space="preserve">Tento návrh Dodatku č. 1 k VZN bol vyvesený na úradnej tabuli a zverejnený na webe obce dňa </w:t>
      </w:r>
      <w:r w:rsidR="005D345E">
        <w:rPr>
          <w:rFonts w:ascii="Garamond" w:hAnsi="Garamond"/>
        </w:rPr>
        <w:t>28.5.2026</w:t>
      </w:r>
    </w:p>
    <w:p w14:paraId="27EB0CFC" w14:textId="46497002" w:rsidR="008E7307" w:rsidRPr="008E7307" w:rsidRDefault="008E7307" w:rsidP="008E7307">
      <w:pPr>
        <w:numPr>
          <w:ilvl w:val="0"/>
          <w:numId w:val="3"/>
        </w:numPr>
        <w:jc w:val="both"/>
        <w:rPr>
          <w:rFonts w:ascii="Garamond" w:hAnsi="Garamond"/>
        </w:rPr>
      </w:pPr>
      <w:r w:rsidRPr="008E7307">
        <w:rPr>
          <w:rFonts w:ascii="Garamond" w:hAnsi="Garamond"/>
        </w:rPr>
        <w:t xml:space="preserve">Tento Dodatok č. 1 k VZN bol schválený Obecným zastupiteľstvom v Ipeľskom Predmostí dňa </w:t>
      </w:r>
      <w:r w:rsidR="00A9453F">
        <w:rPr>
          <w:rFonts w:ascii="Garamond" w:hAnsi="Garamond"/>
        </w:rPr>
        <w:t>18.06.2026</w:t>
      </w:r>
      <w:r w:rsidRPr="008E7307">
        <w:rPr>
          <w:rFonts w:ascii="Garamond" w:hAnsi="Garamond"/>
        </w:rPr>
        <w:t xml:space="preserve"> uznesením č. </w:t>
      </w:r>
      <w:r w:rsidR="00A9453F">
        <w:rPr>
          <w:rFonts w:ascii="Garamond" w:hAnsi="Garamond"/>
        </w:rPr>
        <w:t>159/2026</w:t>
      </w:r>
    </w:p>
    <w:p w14:paraId="7F5DDB73" w14:textId="77777777" w:rsidR="008E7307" w:rsidRPr="008E7307" w:rsidRDefault="008E7307" w:rsidP="008E7307">
      <w:pPr>
        <w:numPr>
          <w:ilvl w:val="0"/>
          <w:numId w:val="3"/>
        </w:numPr>
        <w:jc w:val="both"/>
        <w:rPr>
          <w:rFonts w:ascii="Garamond" w:hAnsi="Garamond"/>
        </w:rPr>
      </w:pPr>
      <w:r w:rsidRPr="008E7307">
        <w:rPr>
          <w:rFonts w:ascii="Garamond" w:hAnsi="Garamond"/>
        </w:rPr>
        <w:t>Tento Dodatok č. 1 k VZN nadobúda účinnosť pätnástym dňom od jeho vyvesenia na úradnej tabuli obce po jeho schválení Obecným zastupiteľstvom.</w:t>
      </w:r>
    </w:p>
    <w:p w14:paraId="4EB8C04D" w14:textId="77777777" w:rsidR="008E7307" w:rsidRPr="008E7307" w:rsidRDefault="008E7307" w:rsidP="008E7307">
      <w:pPr>
        <w:jc w:val="both"/>
        <w:rPr>
          <w:rFonts w:ascii="Garamond" w:hAnsi="Garamond"/>
        </w:rPr>
      </w:pPr>
      <w:r w:rsidRPr="008E7307">
        <w:rPr>
          <w:rFonts w:ascii="Garamond" w:hAnsi="Garamond"/>
        </w:rPr>
        <w:t>..................................................</w:t>
      </w:r>
    </w:p>
    <w:p w14:paraId="20B63366" w14:textId="435D1214" w:rsidR="008E7307" w:rsidRPr="008E7307" w:rsidRDefault="00A9453F" w:rsidP="008E7307">
      <w:pPr>
        <w:jc w:val="both"/>
        <w:rPr>
          <w:rFonts w:ascii="Garamond" w:hAnsi="Garamond"/>
        </w:rPr>
      </w:pPr>
      <w:r>
        <w:rPr>
          <w:rFonts w:ascii="Garamond" w:hAnsi="Garamond"/>
          <w:b/>
          <w:bCs/>
        </w:rPr>
        <w:t xml:space="preserve">                                                                                            </w:t>
      </w:r>
      <w:r w:rsidR="008E7307" w:rsidRPr="008E7307">
        <w:rPr>
          <w:rFonts w:ascii="Garamond" w:hAnsi="Garamond"/>
          <w:b/>
          <w:bCs/>
        </w:rPr>
        <w:t xml:space="preserve">Viktor </w:t>
      </w:r>
      <w:proofErr w:type="spellStart"/>
      <w:r w:rsidR="008E7307" w:rsidRPr="008E7307">
        <w:rPr>
          <w:rFonts w:ascii="Garamond" w:hAnsi="Garamond"/>
          <w:b/>
          <w:bCs/>
        </w:rPr>
        <w:t>Lestyánszky</w:t>
      </w:r>
      <w:proofErr w:type="spellEnd"/>
    </w:p>
    <w:p w14:paraId="08DE9957" w14:textId="30969699" w:rsidR="008E7307" w:rsidRDefault="00A9453F" w:rsidP="008E7307">
      <w:pPr>
        <w:jc w:val="both"/>
        <w:rPr>
          <w:rFonts w:ascii="Garamond" w:hAnsi="Garamond"/>
        </w:rPr>
      </w:pPr>
      <w:r>
        <w:rPr>
          <w:rFonts w:ascii="Garamond" w:hAnsi="Garamond"/>
        </w:rPr>
        <w:t xml:space="preserve">                                                                                                 </w:t>
      </w:r>
      <w:r w:rsidR="008E7307" w:rsidRPr="008E7307">
        <w:rPr>
          <w:rFonts w:ascii="Garamond" w:hAnsi="Garamond"/>
        </w:rPr>
        <w:t>starosta obce</w:t>
      </w:r>
    </w:p>
    <w:p w14:paraId="1C1C3264" w14:textId="00C5F2C2" w:rsidR="00A9453F" w:rsidRDefault="00A9453F" w:rsidP="008E7307">
      <w:pPr>
        <w:jc w:val="both"/>
        <w:rPr>
          <w:rFonts w:ascii="Garamond" w:hAnsi="Garamond"/>
        </w:rPr>
      </w:pPr>
    </w:p>
    <w:p w14:paraId="44FEBA71" w14:textId="7B436334" w:rsidR="00A9453F" w:rsidRDefault="00A9453F" w:rsidP="008E7307">
      <w:pPr>
        <w:jc w:val="both"/>
        <w:rPr>
          <w:rFonts w:ascii="Garamond" w:hAnsi="Garamond"/>
        </w:rPr>
      </w:pPr>
    </w:p>
    <w:p w14:paraId="55F425D5" w14:textId="15874E91"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kern w:val="0"/>
          <w:sz w:val="22"/>
          <w:szCs w:val="22"/>
          <w14:ligatures w14:val="none"/>
        </w:rPr>
      </w:pPr>
      <w:r w:rsidRPr="00A9453F">
        <w:rPr>
          <w:rFonts w:ascii="Calibri" w:eastAsia="Times New Roman" w:hAnsi="Calibri" w:cs="Calibri"/>
          <w:kern w:val="0"/>
          <w:sz w:val="22"/>
          <w:szCs w:val="22"/>
          <w14:ligatures w14:val="none"/>
        </w:rPr>
        <w:t xml:space="preserve">Toto </w:t>
      </w:r>
      <w:r>
        <w:rPr>
          <w:rFonts w:ascii="Calibri" w:eastAsia="Times New Roman" w:hAnsi="Calibri" w:cs="Calibri"/>
          <w:kern w:val="0"/>
          <w:sz w:val="22"/>
          <w:szCs w:val="22"/>
          <w14:ligatures w14:val="none"/>
        </w:rPr>
        <w:t xml:space="preserve"> Dodatok č. 1 k VZN č. 4/2025 </w:t>
      </w:r>
      <w:r w:rsidRPr="00A9453F">
        <w:rPr>
          <w:rFonts w:ascii="Calibri" w:eastAsia="Times New Roman" w:hAnsi="Calibri" w:cs="Calibri"/>
          <w:kern w:val="0"/>
          <w:sz w:val="22"/>
          <w:szCs w:val="22"/>
          <w14:ligatures w14:val="none"/>
        </w:rPr>
        <w:t xml:space="preserve"> bolo schválené Obecným zastupiteľstvom</w:t>
      </w:r>
    </w:p>
    <w:p w14:paraId="125C2EF4" w14:textId="09CF09FD"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b/>
          <w:bCs/>
          <w:kern w:val="0"/>
          <w:sz w:val="22"/>
          <w:szCs w:val="22"/>
          <w14:ligatures w14:val="none"/>
        </w:rPr>
      </w:pPr>
      <w:r w:rsidRPr="00A9453F">
        <w:rPr>
          <w:rFonts w:ascii="Calibri" w:eastAsia="Times New Roman" w:hAnsi="Calibri" w:cs="Calibri"/>
          <w:kern w:val="0"/>
          <w:sz w:val="22"/>
          <w:szCs w:val="22"/>
          <w14:ligatures w14:val="none"/>
        </w:rPr>
        <w:t xml:space="preserve">V Ipeľskom Predmostí dňa </w:t>
      </w:r>
      <w:r w:rsidRPr="00A9453F">
        <w:rPr>
          <w:rFonts w:ascii="Calibri" w:eastAsia="Times New Roman" w:hAnsi="Calibri" w:cs="Calibri"/>
          <w:b/>
          <w:bCs/>
          <w:kern w:val="0"/>
          <w:sz w:val="22"/>
          <w:szCs w:val="22"/>
          <w14:ligatures w14:val="none"/>
        </w:rPr>
        <w:t xml:space="preserve">   1</w:t>
      </w:r>
      <w:r>
        <w:rPr>
          <w:rFonts w:ascii="Calibri" w:eastAsia="Times New Roman" w:hAnsi="Calibri" w:cs="Calibri"/>
          <w:b/>
          <w:bCs/>
          <w:kern w:val="0"/>
          <w:sz w:val="22"/>
          <w:szCs w:val="22"/>
          <w14:ligatures w14:val="none"/>
        </w:rPr>
        <w:t>8</w:t>
      </w:r>
      <w:r w:rsidRPr="00A9453F">
        <w:rPr>
          <w:rFonts w:ascii="Calibri" w:eastAsia="Times New Roman" w:hAnsi="Calibri" w:cs="Calibri"/>
          <w:b/>
          <w:bCs/>
          <w:kern w:val="0"/>
          <w:sz w:val="22"/>
          <w:szCs w:val="22"/>
          <w14:ligatures w14:val="none"/>
        </w:rPr>
        <w:t>.</w:t>
      </w:r>
      <w:r>
        <w:rPr>
          <w:rFonts w:ascii="Calibri" w:eastAsia="Times New Roman" w:hAnsi="Calibri" w:cs="Calibri"/>
          <w:b/>
          <w:bCs/>
          <w:kern w:val="0"/>
          <w:sz w:val="22"/>
          <w:szCs w:val="22"/>
          <w14:ligatures w14:val="none"/>
        </w:rPr>
        <w:t>06</w:t>
      </w:r>
      <w:r w:rsidRPr="00A9453F">
        <w:rPr>
          <w:rFonts w:ascii="Calibri" w:eastAsia="Times New Roman" w:hAnsi="Calibri" w:cs="Calibri"/>
          <w:b/>
          <w:bCs/>
          <w:kern w:val="0"/>
          <w:sz w:val="22"/>
          <w:szCs w:val="22"/>
          <w14:ligatures w14:val="none"/>
        </w:rPr>
        <w:t>.202</w:t>
      </w:r>
      <w:r>
        <w:rPr>
          <w:rFonts w:ascii="Calibri" w:eastAsia="Times New Roman" w:hAnsi="Calibri" w:cs="Calibri"/>
          <w:b/>
          <w:bCs/>
          <w:kern w:val="0"/>
          <w:sz w:val="22"/>
          <w:szCs w:val="22"/>
          <w14:ligatures w14:val="none"/>
        </w:rPr>
        <w:t>6</w:t>
      </w:r>
      <w:r w:rsidRPr="00A9453F">
        <w:rPr>
          <w:rFonts w:ascii="Calibri" w:eastAsia="Times New Roman" w:hAnsi="Calibri" w:cs="Calibri"/>
          <w:b/>
          <w:bCs/>
          <w:kern w:val="0"/>
          <w:sz w:val="22"/>
          <w:szCs w:val="22"/>
          <w14:ligatures w14:val="none"/>
        </w:rPr>
        <w:t xml:space="preserve">  </w:t>
      </w:r>
      <w:r w:rsidRPr="00A9453F">
        <w:rPr>
          <w:rFonts w:ascii="Calibri" w:eastAsia="Times New Roman" w:hAnsi="Calibri" w:cs="Calibri"/>
          <w:kern w:val="0"/>
          <w:sz w:val="22"/>
          <w:szCs w:val="22"/>
          <w14:ligatures w14:val="none"/>
        </w:rPr>
        <w:t xml:space="preserve"> uznesením </w:t>
      </w:r>
      <w:r w:rsidRPr="00A9453F">
        <w:rPr>
          <w:rFonts w:ascii="Calibri" w:eastAsia="Times New Roman" w:hAnsi="Calibri" w:cs="Calibri"/>
          <w:b/>
          <w:bCs/>
          <w:kern w:val="0"/>
          <w:sz w:val="22"/>
          <w:szCs w:val="22"/>
          <w14:ligatures w14:val="none"/>
        </w:rPr>
        <w:t xml:space="preserve">č.    </w:t>
      </w:r>
      <w:r>
        <w:rPr>
          <w:rFonts w:ascii="Calibri" w:eastAsia="Times New Roman" w:hAnsi="Calibri" w:cs="Calibri"/>
          <w:b/>
          <w:bCs/>
          <w:kern w:val="0"/>
          <w:sz w:val="22"/>
          <w:szCs w:val="22"/>
          <w14:ligatures w14:val="none"/>
        </w:rPr>
        <w:t>159</w:t>
      </w:r>
      <w:r w:rsidRPr="00A9453F">
        <w:rPr>
          <w:rFonts w:ascii="Calibri" w:eastAsia="Times New Roman" w:hAnsi="Calibri" w:cs="Calibri"/>
          <w:b/>
          <w:bCs/>
          <w:kern w:val="0"/>
          <w:sz w:val="22"/>
          <w:szCs w:val="22"/>
          <w14:ligatures w14:val="none"/>
        </w:rPr>
        <w:t xml:space="preserve"> /202</w:t>
      </w:r>
      <w:r>
        <w:rPr>
          <w:rFonts w:ascii="Calibri" w:eastAsia="Times New Roman" w:hAnsi="Calibri" w:cs="Calibri"/>
          <w:b/>
          <w:bCs/>
          <w:kern w:val="0"/>
          <w:sz w:val="22"/>
          <w:szCs w:val="22"/>
          <w14:ligatures w14:val="none"/>
        </w:rPr>
        <w:t>6</w:t>
      </w:r>
      <w:r w:rsidRPr="00A9453F">
        <w:rPr>
          <w:rFonts w:ascii="Calibri" w:eastAsia="Times New Roman" w:hAnsi="Calibri" w:cs="Calibri"/>
          <w:b/>
          <w:bCs/>
          <w:kern w:val="0"/>
          <w:sz w:val="22"/>
          <w:szCs w:val="22"/>
          <w14:ligatures w14:val="none"/>
        </w:rPr>
        <w:t xml:space="preserve">   </w:t>
      </w:r>
      <w:r w:rsidRPr="00A9453F">
        <w:rPr>
          <w:rFonts w:ascii="Calibri" w:eastAsia="Times New Roman" w:hAnsi="Calibri" w:cs="Calibri"/>
          <w:kern w:val="0"/>
          <w:sz w:val="22"/>
          <w:szCs w:val="22"/>
          <w14:ligatures w14:val="none"/>
        </w:rPr>
        <w:t xml:space="preserve"> ako</w:t>
      </w:r>
    </w:p>
    <w:p w14:paraId="7582008F" w14:textId="518FF558"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kern w:val="0"/>
          <w:sz w:val="22"/>
          <w:szCs w:val="22"/>
          <w14:ligatures w14:val="none"/>
        </w:rPr>
      </w:pPr>
      <w:r>
        <w:rPr>
          <w:rFonts w:ascii="Calibri" w:eastAsia="Times New Roman" w:hAnsi="Calibri" w:cs="Calibri"/>
          <w:b/>
          <w:bCs/>
          <w:kern w:val="0"/>
          <w:sz w:val="22"/>
          <w:szCs w:val="22"/>
          <w14:ligatures w14:val="none"/>
        </w:rPr>
        <w:t>Dodatok č. 1 k VZN</w:t>
      </w:r>
      <w:r w:rsidRPr="00A9453F">
        <w:rPr>
          <w:rFonts w:ascii="Calibri" w:eastAsia="Times New Roman" w:hAnsi="Calibri" w:cs="Calibri"/>
          <w:b/>
          <w:bCs/>
          <w:kern w:val="0"/>
          <w:sz w:val="22"/>
          <w:szCs w:val="22"/>
          <w14:ligatures w14:val="none"/>
        </w:rPr>
        <w:t xml:space="preserve"> č. </w:t>
      </w:r>
      <w:r>
        <w:rPr>
          <w:rFonts w:ascii="Calibri" w:eastAsia="Times New Roman" w:hAnsi="Calibri" w:cs="Calibri"/>
          <w:b/>
          <w:bCs/>
          <w:kern w:val="0"/>
          <w:sz w:val="22"/>
          <w:szCs w:val="22"/>
          <w14:ligatures w14:val="none"/>
        </w:rPr>
        <w:t>5</w:t>
      </w:r>
      <w:r w:rsidRPr="00A9453F">
        <w:rPr>
          <w:rFonts w:ascii="Calibri" w:eastAsia="Times New Roman" w:hAnsi="Calibri" w:cs="Calibri"/>
          <w:b/>
          <w:bCs/>
          <w:kern w:val="0"/>
          <w:sz w:val="22"/>
          <w:szCs w:val="22"/>
          <w14:ligatures w14:val="none"/>
        </w:rPr>
        <w:t>/202</w:t>
      </w:r>
      <w:r>
        <w:rPr>
          <w:rFonts w:ascii="Calibri" w:eastAsia="Times New Roman" w:hAnsi="Calibri" w:cs="Calibri"/>
          <w:b/>
          <w:bCs/>
          <w:kern w:val="0"/>
          <w:sz w:val="22"/>
          <w:szCs w:val="22"/>
          <w14:ligatures w14:val="none"/>
        </w:rPr>
        <w:t>5</w:t>
      </w:r>
    </w:p>
    <w:p w14:paraId="175C5773" w14:textId="2B41EEA1"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kern w:val="0"/>
          <w:sz w:val="22"/>
          <w:szCs w:val="22"/>
          <w14:ligatures w14:val="none"/>
        </w:rPr>
      </w:pPr>
      <w:r w:rsidRPr="00A9453F">
        <w:rPr>
          <w:rFonts w:ascii="Calibri" w:eastAsia="Times New Roman" w:hAnsi="Calibri" w:cs="Calibri"/>
          <w:kern w:val="0"/>
          <w:sz w:val="22"/>
          <w:szCs w:val="22"/>
          <w14:ligatures w14:val="none"/>
        </w:rPr>
        <w:t xml:space="preserve">Návrh </w:t>
      </w:r>
      <w:r>
        <w:rPr>
          <w:rFonts w:ascii="Calibri" w:eastAsia="Times New Roman" w:hAnsi="Calibri" w:cs="Calibri"/>
          <w:kern w:val="0"/>
          <w:sz w:val="22"/>
          <w:szCs w:val="22"/>
          <w14:ligatures w14:val="none"/>
        </w:rPr>
        <w:t xml:space="preserve">Dodatok č. 1 k </w:t>
      </w:r>
      <w:r w:rsidRPr="00A9453F">
        <w:rPr>
          <w:rFonts w:ascii="Calibri" w:eastAsia="Times New Roman" w:hAnsi="Calibri" w:cs="Calibri"/>
          <w:kern w:val="0"/>
          <w:sz w:val="22"/>
          <w:szCs w:val="22"/>
          <w14:ligatures w14:val="none"/>
        </w:rPr>
        <w:t xml:space="preserve">VZN </w:t>
      </w:r>
      <w:r>
        <w:rPr>
          <w:rFonts w:ascii="Calibri" w:eastAsia="Times New Roman" w:hAnsi="Calibri" w:cs="Calibri"/>
          <w:kern w:val="0"/>
          <w:sz w:val="22"/>
          <w:szCs w:val="22"/>
          <w14:ligatures w14:val="none"/>
        </w:rPr>
        <w:t xml:space="preserve">č 4/2025 </w:t>
      </w:r>
      <w:r w:rsidRPr="00A9453F">
        <w:rPr>
          <w:rFonts w:ascii="Calibri" w:eastAsia="Times New Roman" w:hAnsi="Calibri" w:cs="Calibri"/>
          <w:kern w:val="0"/>
          <w:sz w:val="22"/>
          <w:szCs w:val="22"/>
          <w14:ligatures w14:val="none"/>
        </w:rPr>
        <w:t xml:space="preserve">bol podľa §6, ods. 3., Zák. č. 369/1990 </w:t>
      </w:r>
      <w:proofErr w:type="spellStart"/>
      <w:r w:rsidRPr="00A9453F">
        <w:rPr>
          <w:rFonts w:ascii="Calibri" w:eastAsia="Times New Roman" w:hAnsi="Calibri" w:cs="Calibri"/>
          <w:kern w:val="0"/>
          <w:sz w:val="22"/>
          <w:szCs w:val="22"/>
          <w14:ligatures w14:val="none"/>
        </w:rPr>
        <w:t>Z.z</w:t>
      </w:r>
      <w:proofErr w:type="spellEnd"/>
      <w:r w:rsidRPr="00A9453F">
        <w:rPr>
          <w:rFonts w:ascii="Calibri" w:eastAsia="Times New Roman" w:hAnsi="Calibri" w:cs="Calibri"/>
          <w:kern w:val="0"/>
          <w:sz w:val="22"/>
          <w:szCs w:val="22"/>
          <w14:ligatures w14:val="none"/>
        </w:rPr>
        <w:t xml:space="preserve">. zverejnený na </w:t>
      </w:r>
    </w:p>
    <w:p w14:paraId="4C93A706" w14:textId="543C4916"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kern w:val="0"/>
          <w:sz w:val="22"/>
          <w:szCs w:val="22"/>
          <w14:ligatures w14:val="none"/>
        </w:rPr>
      </w:pPr>
      <w:r w:rsidRPr="00A9453F">
        <w:rPr>
          <w:rFonts w:ascii="Calibri" w:eastAsia="Times New Roman" w:hAnsi="Calibri" w:cs="Calibri"/>
          <w:kern w:val="0"/>
          <w:sz w:val="22"/>
          <w:szCs w:val="22"/>
          <w14:ligatures w14:val="none"/>
        </w:rPr>
        <w:t xml:space="preserve">úradnej tabuli aj na webovom sídle obce  v obci od </w:t>
      </w:r>
      <w:r w:rsidRPr="00A9453F">
        <w:rPr>
          <w:rFonts w:ascii="Calibri" w:eastAsia="Times New Roman" w:hAnsi="Calibri" w:cs="Calibri"/>
          <w:b/>
          <w:bCs/>
          <w:kern w:val="0"/>
          <w:sz w:val="22"/>
          <w:szCs w:val="22"/>
          <w14:ligatures w14:val="none"/>
        </w:rPr>
        <w:t xml:space="preserve">    </w:t>
      </w:r>
      <w:r w:rsidR="003D3D1B">
        <w:rPr>
          <w:rFonts w:ascii="Calibri" w:eastAsia="Times New Roman" w:hAnsi="Calibri" w:cs="Calibri"/>
          <w:kern w:val="0"/>
          <w:sz w:val="22"/>
          <w:szCs w:val="22"/>
          <w14:ligatures w14:val="none"/>
        </w:rPr>
        <w:t>28.05.2026</w:t>
      </w:r>
      <w:r w:rsidRPr="00A9453F">
        <w:rPr>
          <w:rFonts w:ascii="Calibri" w:eastAsia="Times New Roman" w:hAnsi="Calibri" w:cs="Calibri"/>
          <w:kern w:val="0"/>
          <w:sz w:val="22"/>
          <w:szCs w:val="22"/>
          <w14:ligatures w14:val="none"/>
        </w:rPr>
        <w:t>.202</w:t>
      </w:r>
      <w:r>
        <w:rPr>
          <w:rFonts w:ascii="Calibri" w:eastAsia="Times New Roman" w:hAnsi="Calibri" w:cs="Calibri"/>
          <w:kern w:val="0"/>
          <w:sz w:val="22"/>
          <w:szCs w:val="22"/>
          <w14:ligatures w14:val="none"/>
        </w:rPr>
        <w:t>6</w:t>
      </w:r>
      <w:r w:rsidRPr="00A9453F">
        <w:rPr>
          <w:rFonts w:ascii="Calibri" w:eastAsia="Times New Roman" w:hAnsi="Calibri" w:cs="Calibri"/>
          <w:b/>
          <w:bCs/>
          <w:kern w:val="0"/>
          <w:sz w:val="22"/>
          <w:szCs w:val="22"/>
          <w14:ligatures w14:val="none"/>
        </w:rPr>
        <w:t xml:space="preserve">    </w:t>
      </w:r>
      <w:r w:rsidRPr="00A9453F">
        <w:rPr>
          <w:rFonts w:ascii="Calibri" w:eastAsia="Times New Roman" w:hAnsi="Calibri" w:cs="Calibri"/>
          <w:kern w:val="0"/>
          <w:sz w:val="22"/>
          <w:szCs w:val="22"/>
          <w14:ligatures w14:val="none"/>
        </w:rPr>
        <w:t xml:space="preserve">do  </w:t>
      </w:r>
      <w:r w:rsidR="003D3D1B">
        <w:rPr>
          <w:rFonts w:ascii="Calibri" w:eastAsia="Times New Roman" w:hAnsi="Calibri" w:cs="Calibri"/>
          <w:kern w:val="0"/>
          <w:sz w:val="22"/>
          <w:szCs w:val="22"/>
          <w14:ligatures w14:val="none"/>
        </w:rPr>
        <w:t>01</w:t>
      </w:r>
      <w:r w:rsidRPr="00A9453F">
        <w:rPr>
          <w:rFonts w:ascii="Calibri" w:eastAsia="Times New Roman" w:hAnsi="Calibri" w:cs="Calibri"/>
          <w:kern w:val="0"/>
          <w:sz w:val="22"/>
          <w:szCs w:val="22"/>
          <w14:ligatures w14:val="none"/>
        </w:rPr>
        <w:t>.</w:t>
      </w:r>
      <w:r w:rsidR="003D3D1B">
        <w:rPr>
          <w:rFonts w:ascii="Calibri" w:eastAsia="Times New Roman" w:hAnsi="Calibri" w:cs="Calibri"/>
          <w:kern w:val="0"/>
          <w:sz w:val="22"/>
          <w:szCs w:val="22"/>
          <w14:ligatures w14:val="none"/>
        </w:rPr>
        <w:t>07</w:t>
      </w:r>
      <w:r w:rsidRPr="00A9453F">
        <w:rPr>
          <w:rFonts w:ascii="Calibri" w:eastAsia="Times New Roman" w:hAnsi="Calibri" w:cs="Calibri"/>
          <w:kern w:val="0"/>
          <w:sz w:val="22"/>
          <w:szCs w:val="22"/>
          <w14:ligatures w14:val="none"/>
        </w:rPr>
        <w:t>.202</w:t>
      </w:r>
      <w:r w:rsidR="003D3D1B">
        <w:rPr>
          <w:rFonts w:ascii="Calibri" w:eastAsia="Times New Roman" w:hAnsi="Calibri" w:cs="Calibri"/>
          <w:kern w:val="0"/>
          <w:sz w:val="22"/>
          <w:szCs w:val="22"/>
          <w14:ligatures w14:val="none"/>
        </w:rPr>
        <w:t>6</w:t>
      </w:r>
    </w:p>
    <w:p w14:paraId="577B7F9F" w14:textId="77777777"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kern w:val="0"/>
          <w:sz w:val="22"/>
          <w:szCs w:val="22"/>
          <w14:ligatures w14:val="none"/>
        </w:rPr>
      </w:pPr>
    </w:p>
    <w:p w14:paraId="37DBECED" w14:textId="6A55F916"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kern w:val="0"/>
          <w:sz w:val="22"/>
          <w:szCs w:val="22"/>
          <w14:ligatures w14:val="none"/>
        </w:rPr>
      </w:pPr>
      <w:r w:rsidRPr="00A9453F">
        <w:rPr>
          <w:rFonts w:ascii="Calibri" w:eastAsia="Times New Roman" w:hAnsi="Calibri" w:cs="Calibri"/>
          <w:kern w:val="0"/>
          <w:sz w:val="22"/>
          <w:szCs w:val="22"/>
          <w14:ligatures w14:val="none"/>
        </w:rPr>
        <w:t xml:space="preserve">Toto </w:t>
      </w:r>
      <w:r w:rsidR="003D3D1B">
        <w:rPr>
          <w:rFonts w:ascii="Calibri" w:eastAsia="Times New Roman" w:hAnsi="Calibri" w:cs="Calibri"/>
          <w:kern w:val="0"/>
          <w:sz w:val="22"/>
          <w:szCs w:val="22"/>
          <w14:ligatures w14:val="none"/>
        </w:rPr>
        <w:t xml:space="preserve">Dodatok č. 1 k VZN č. 4/2025 </w:t>
      </w:r>
      <w:r w:rsidRPr="00A9453F">
        <w:rPr>
          <w:rFonts w:ascii="Calibri" w:eastAsia="Times New Roman" w:hAnsi="Calibri" w:cs="Calibri"/>
          <w:kern w:val="0"/>
          <w:sz w:val="22"/>
          <w:szCs w:val="22"/>
          <w14:ligatures w14:val="none"/>
        </w:rPr>
        <w:t xml:space="preserve"> bolo podľa § 6, ods.3., Zák.č.369/90 Zb. vyvesené na</w:t>
      </w:r>
    </w:p>
    <w:p w14:paraId="0B1D04BC" w14:textId="2EABCC1A"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b/>
          <w:bCs/>
          <w:i/>
          <w:iCs/>
          <w:kern w:val="0"/>
          <w:sz w:val="22"/>
          <w:szCs w:val="22"/>
          <w14:ligatures w14:val="none"/>
        </w:rPr>
      </w:pPr>
      <w:r w:rsidRPr="00A9453F">
        <w:rPr>
          <w:rFonts w:ascii="Calibri" w:eastAsia="Times New Roman" w:hAnsi="Calibri" w:cs="Calibri"/>
          <w:kern w:val="0"/>
          <w:sz w:val="22"/>
          <w:szCs w:val="22"/>
          <w14:ligatures w14:val="none"/>
        </w:rPr>
        <w:t>úradnej tabuli aj na webovom sídle obce  dňa  1</w:t>
      </w:r>
      <w:r w:rsidR="003D3D1B">
        <w:rPr>
          <w:rFonts w:ascii="Calibri" w:eastAsia="Times New Roman" w:hAnsi="Calibri" w:cs="Calibri"/>
          <w:kern w:val="0"/>
          <w:sz w:val="22"/>
          <w:szCs w:val="22"/>
          <w14:ligatures w14:val="none"/>
        </w:rPr>
        <w:t>9</w:t>
      </w:r>
      <w:r w:rsidRPr="00A9453F">
        <w:rPr>
          <w:rFonts w:ascii="Calibri" w:eastAsia="Times New Roman" w:hAnsi="Calibri" w:cs="Calibri"/>
          <w:kern w:val="0"/>
          <w:sz w:val="22"/>
          <w:szCs w:val="22"/>
          <w14:ligatures w14:val="none"/>
        </w:rPr>
        <w:t>.</w:t>
      </w:r>
      <w:r w:rsidR="003D3D1B">
        <w:rPr>
          <w:rFonts w:ascii="Calibri" w:eastAsia="Times New Roman" w:hAnsi="Calibri" w:cs="Calibri"/>
          <w:kern w:val="0"/>
          <w:sz w:val="22"/>
          <w:szCs w:val="22"/>
          <w14:ligatures w14:val="none"/>
        </w:rPr>
        <w:t>06</w:t>
      </w:r>
      <w:r w:rsidRPr="00A9453F">
        <w:rPr>
          <w:rFonts w:ascii="Calibri" w:eastAsia="Times New Roman" w:hAnsi="Calibri" w:cs="Calibri"/>
          <w:kern w:val="0"/>
          <w:sz w:val="22"/>
          <w:szCs w:val="22"/>
          <w14:ligatures w14:val="none"/>
        </w:rPr>
        <w:t>.202</w:t>
      </w:r>
      <w:r w:rsidR="003D3D1B">
        <w:rPr>
          <w:rFonts w:ascii="Calibri" w:eastAsia="Times New Roman" w:hAnsi="Calibri" w:cs="Calibri"/>
          <w:kern w:val="0"/>
          <w:sz w:val="22"/>
          <w:szCs w:val="22"/>
          <w14:ligatures w14:val="none"/>
        </w:rPr>
        <w:t>6</w:t>
      </w:r>
      <w:r w:rsidRPr="00A9453F">
        <w:rPr>
          <w:rFonts w:ascii="Calibri" w:eastAsia="Times New Roman" w:hAnsi="Calibri" w:cs="Calibri"/>
          <w:b/>
          <w:bCs/>
          <w:kern w:val="0"/>
          <w:sz w:val="22"/>
          <w:szCs w:val="22"/>
          <w14:ligatures w14:val="none"/>
        </w:rPr>
        <w:t xml:space="preserve">  </w:t>
      </w:r>
      <w:r w:rsidRPr="00A9453F">
        <w:rPr>
          <w:rFonts w:ascii="Calibri" w:eastAsia="Times New Roman" w:hAnsi="Calibri" w:cs="Calibri"/>
          <w:kern w:val="0"/>
          <w:sz w:val="22"/>
          <w:szCs w:val="22"/>
          <w14:ligatures w14:val="none"/>
        </w:rPr>
        <w:t xml:space="preserve">a zvesené dňa   </w:t>
      </w:r>
      <w:r w:rsidR="003D3D1B">
        <w:rPr>
          <w:rFonts w:ascii="Calibri" w:eastAsia="Times New Roman" w:hAnsi="Calibri" w:cs="Calibri"/>
          <w:kern w:val="0"/>
          <w:sz w:val="22"/>
          <w:szCs w:val="22"/>
          <w14:ligatures w14:val="none"/>
        </w:rPr>
        <w:t>05</w:t>
      </w:r>
      <w:r w:rsidRPr="00A9453F">
        <w:rPr>
          <w:rFonts w:ascii="Calibri" w:eastAsia="Times New Roman" w:hAnsi="Calibri" w:cs="Calibri"/>
          <w:kern w:val="0"/>
          <w:sz w:val="22"/>
          <w:szCs w:val="22"/>
          <w14:ligatures w14:val="none"/>
        </w:rPr>
        <w:t>.</w:t>
      </w:r>
      <w:r w:rsidR="003D3D1B">
        <w:rPr>
          <w:rFonts w:ascii="Calibri" w:eastAsia="Times New Roman" w:hAnsi="Calibri" w:cs="Calibri"/>
          <w:kern w:val="0"/>
          <w:sz w:val="22"/>
          <w:szCs w:val="22"/>
          <w14:ligatures w14:val="none"/>
        </w:rPr>
        <w:t>07</w:t>
      </w:r>
      <w:r w:rsidRPr="00A9453F">
        <w:rPr>
          <w:rFonts w:ascii="Calibri" w:eastAsia="Times New Roman" w:hAnsi="Calibri" w:cs="Calibri"/>
          <w:kern w:val="0"/>
          <w:sz w:val="22"/>
          <w:szCs w:val="22"/>
          <w14:ligatures w14:val="none"/>
        </w:rPr>
        <w:t>.202</w:t>
      </w:r>
      <w:r w:rsidR="003D3D1B">
        <w:rPr>
          <w:rFonts w:ascii="Calibri" w:eastAsia="Times New Roman" w:hAnsi="Calibri" w:cs="Calibri"/>
          <w:kern w:val="0"/>
          <w:sz w:val="22"/>
          <w:szCs w:val="22"/>
          <w14:ligatures w14:val="none"/>
        </w:rPr>
        <w:t>6</w:t>
      </w:r>
    </w:p>
    <w:p w14:paraId="734B6275" w14:textId="77777777"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b/>
          <w:bCs/>
          <w:i/>
          <w:iCs/>
          <w:kern w:val="0"/>
          <w:sz w:val="22"/>
          <w:szCs w:val="22"/>
          <w14:ligatures w14:val="none"/>
        </w:rPr>
      </w:pPr>
    </w:p>
    <w:p w14:paraId="2E0D0B41" w14:textId="77777777"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Calibri"/>
          <w:b/>
          <w:bCs/>
          <w:i/>
          <w:iCs/>
          <w:kern w:val="0"/>
          <w:sz w:val="22"/>
          <w:szCs w:val="22"/>
          <w14:ligatures w14:val="none"/>
        </w:rPr>
      </w:pPr>
    </w:p>
    <w:p w14:paraId="4575940E" w14:textId="42FD6708" w:rsidR="00A9453F" w:rsidRPr="00A9453F" w:rsidRDefault="00A9453F" w:rsidP="00A9453F">
      <w:pPr>
        <w:widowControl w:val="0"/>
        <w:autoSpaceDE w:val="0"/>
        <w:autoSpaceDN w:val="0"/>
        <w:adjustRightInd w:val="0"/>
        <w:spacing w:before="120" w:after="200" w:line="240" w:lineRule="atLeast"/>
        <w:jc w:val="center"/>
        <w:rPr>
          <w:rFonts w:ascii="Calibri" w:eastAsia="Times New Roman" w:hAnsi="Calibri" w:cs="Times New Roman"/>
          <w:kern w:val="0"/>
          <w:sz w:val="22"/>
          <w:szCs w:val="22"/>
          <w14:ligatures w14:val="none"/>
        </w:rPr>
      </w:pPr>
      <w:r w:rsidRPr="00A9453F">
        <w:rPr>
          <w:rFonts w:ascii="Calibri" w:eastAsia="Times New Roman" w:hAnsi="Calibri" w:cs="Calibri"/>
          <w:b/>
          <w:bCs/>
          <w:i/>
          <w:iCs/>
          <w:kern w:val="0"/>
          <w:sz w:val="28"/>
          <w:szCs w:val="28"/>
          <w14:ligatures w14:val="none"/>
        </w:rPr>
        <w:t xml:space="preserve">Účinnosť nadobudlo dňa   </w:t>
      </w:r>
      <w:r w:rsidR="003D3D1B">
        <w:rPr>
          <w:rFonts w:ascii="Calibri" w:eastAsia="Times New Roman" w:hAnsi="Calibri" w:cs="Calibri"/>
          <w:b/>
          <w:bCs/>
          <w:i/>
          <w:iCs/>
          <w:kern w:val="0"/>
          <w:sz w:val="28"/>
          <w:szCs w:val="28"/>
          <w14:ligatures w14:val="none"/>
        </w:rPr>
        <w:t>05</w:t>
      </w:r>
      <w:bookmarkStart w:id="0" w:name="_GoBack"/>
      <w:bookmarkEnd w:id="0"/>
      <w:r w:rsidRPr="00A9453F">
        <w:rPr>
          <w:rFonts w:ascii="Calibri" w:eastAsia="Times New Roman" w:hAnsi="Calibri" w:cs="Calibri"/>
          <w:b/>
          <w:bCs/>
          <w:i/>
          <w:iCs/>
          <w:kern w:val="0"/>
          <w:sz w:val="28"/>
          <w:szCs w:val="28"/>
          <w14:ligatures w14:val="none"/>
        </w:rPr>
        <w:t>.0</w:t>
      </w:r>
      <w:r w:rsidR="003D3D1B">
        <w:rPr>
          <w:rFonts w:ascii="Calibri" w:eastAsia="Times New Roman" w:hAnsi="Calibri" w:cs="Calibri"/>
          <w:b/>
          <w:bCs/>
          <w:i/>
          <w:iCs/>
          <w:kern w:val="0"/>
          <w:sz w:val="28"/>
          <w:szCs w:val="28"/>
          <w14:ligatures w14:val="none"/>
        </w:rPr>
        <w:t>7</w:t>
      </w:r>
      <w:r w:rsidRPr="00A9453F">
        <w:rPr>
          <w:rFonts w:ascii="Calibri" w:eastAsia="Times New Roman" w:hAnsi="Calibri" w:cs="Calibri"/>
          <w:b/>
          <w:bCs/>
          <w:i/>
          <w:iCs/>
          <w:kern w:val="0"/>
          <w:sz w:val="28"/>
          <w:szCs w:val="28"/>
          <w14:ligatures w14:val="none"/>
        </w:rPr>
        <w:t>.2026</w:t>
      </w:r>
    </w:p>
    <w:p w14:paraId="6341CB9B" w14:textId="77777777" w:rsidR="00A9453F" w:rsidRPr="008E7307" w:rsidRDefault="00A9453F" w:rsidP="008E7307">
      <w:pPr>
        <w:jc w:val="both"/>
        <w:rPr>
          <w:rFonts w:ascii="Garamond" w:hAnsi="Garamond"/>
        </w:rPr>
      </w:pPr>
    </w:p>
    <w:p w14:paraId="2656D913" w14:textId="77777777" w:rsidR="00026DA3" w:rsidRDefault="00026DA3"/>
    <w:sectPr w:rsidR="00026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altName w:val="Arial"/>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4BA8"/>
    <w:multiLevelType w:val="multilevel"/>
    <w:tmpl w:val="853E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84F83"/>
    <w:multiLevelType w:val="multilevel"/>
    <w:tmpl w:val="345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84677"/>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79550847"/>
    <w:multiLevelType w:val="multilevel"/>
    <w:tmpl w:val="7B3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B7"/>
    <w:rsid w:val="00026DA3"/>
    <w:rsid w:val="002965C3"/>
    <w:rsid w:val="003D3D1B"/>
    <w:rsid w:val="00422425"/>
    <w:rsid w:val="005D345E"/>
    <w:rsid w:val="008E7307"/>
    <w:rsid w:val="00A54B76"/>
    <w:rsid w:val="00A70216"/>
    <w:rsid w:val="00A8468E"/>
    <w:rsid w:val="00A9453F"/>
    <w:rsid w:val="00C73A0F"/>
    <w:rsid w:val="00D15EB7"/>
    <w:rsid w:val="00DC4F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D836"/>
  <w15:chartTrackingRefBased/>
  <w15:docId w15:val="{B196F917-E6C3-4330-B774-1E0D9F32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15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15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15E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15E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15EB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15E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15EB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15EB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15EB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15E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15E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15EB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15EB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15EB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15EB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15EB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15EB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15EB7"/>
    <w:rPr>
      <w:rFonts w:eastAsiaTheme="majorEastAsia" w:cstheme="majorBidi"/>
      <w:color w:val="272727" w:themeColor="text1" w:themeTint="D8"/>
    </w:rPr>
  </w:style>
  <w:style w:type="paragraph" w:styleId="Nzov">
    <w:name w:val="Title"/>
    <w:basedOn w:val="Normlny"/>
    <w:next w:val="Normlny"/>
    <w:link w:val="NzovChar"/>
    <w:uiPriority w:val="10"/>
    <w:qFormat/>
    <w:rsid w:val="00D15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15EB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15EB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15EB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15EB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15EB7"/>
    <w:rPr>
      <w:i/>
      <w:iCs/>
      <w:color w:val="404040" w:themeColor="text1" w:themeTint="BF"/>
    </w:rPr>
  </w:style>
  <w:style w:type="paragraph" w:styleId="Odsekzoznamu">
    <w:name w:val="List Paragraph"/>
    <w:basedOn w:val="Normlny"/>
    <w:uiPriority w:val="99"/>
    <w:qFormat/>
    <w:rsid w:val="00D15EB7"/>
    <w:pPr>
      <w:ind w:left="720"/>
      <w:contextualSpacing/>
    </w:pPr>
  </w:style>
  <w:style w:type="character" w:styleId="Intenzvnezvraznenie">
    <w:name w:val="Intense Emphasis"/>
    <w:basedOn w:val="Predvolenpsmoodseku"/>
    <w:uiPriority w:val="21"/>
    <w:qFormat/>
    <w:rsid w:val="00D15EB7"/>
    <w:rPr>
      <w:i/>
      <w:iCs/>
      <w:color w:val="0F4761" w:themeColor="accent1" w:themeShade="BF"/>
    </w:rPr>
  </w:style>
  <w:style w:type="paragraph" w:styleId="Zvraznencitcia">
    <w:name w:val="Intense Quote"/>
    <w:basedOn w:val="Normlny"/>
    <w:next w:val="Normlny"/>
    <w:link w:val="ZvraznencitciaChar"/>
    <w:uiPriority w:val="30"/>
    <w:qFormat/>
    <w:rsid w:val="00D15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15EB7"/>
    <w:rPr>
      <w:i/>
      <w:iCs/>
      <w:color w:val="0F4761" w:themeColor="accent1" w:themeShade="BF"/>
    </w:rPr>
  </w:style>
  <w:style w:type="character" w:styleId="Zvraznenodkaz">
    <w:name w:val="Intense Reference"/>
    <w:basedOn w:val="Predvolenpsmoodseku"/>
    <w:uiPriority w:val="32"/>
    <w:qFormat/>
    <w:rsid w:val="00D15EB7"/>
    <w:rPr>
      <w:b/>
      <w:bCs/>
      <w:smallCaps/>
      <w:color w:val="0F4761" w:themeColor="accent1" w:themeShade="BF"/>
      <w:spacing w:val="5"/>
    </w:rPr>
  </w:style>
  <w:style w:type="paragraph" w:styleId="Bezriadkovania">
    <w:name w:val="No Spacing"/>
    <w:uiPriority w:val="1"/>
    <w:qFormat/>
    <w:rsid w:val="008E73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763</Words>
  <Characters>4352</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Ing. Michal Kamenský, LL.M.</dc:creator>
  <cp:keywords/>
  <dc:description/>
  <cp:lastModifiedBy>DÚLÓOVÁ Agneša</cp:lastModifiedBy>
  <cp:revision>4</cp:revision>
  <cp:lastPrinted>2026-06-19T08:54:00Z</cp:lastPrinted>
  <dcterms:created xsi:type="dcterms:W3CDTF">2026-06-19T08:38:00Z</dcterms:created>
  <dcterms:modified xsi:type="dcterms:W3CDTF">2026-06-19T08:55:00Z</dcterms:modified>
</cp:coreProperties>
</file>